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EEB" w:rsidRPr="00E175BF" w:rsidRDefault="00256EEB" w:rsidP="00E4439C">
      <w:pPr>
        <w:pStyle w:val="Ttulo"/>
        <w:jc w:val="both"/>
        <w:rPr>
          <w:rFonts w:ascii="Century Gothic" w:hAnsi="Century Gothic"/>
          <w:noProof/>
          <w:sz w:val="40"/>
        </w:rPr>
      </w:pPr>
      <w:bookmarkStart w:id="0" w:name="_GoBack"/>
      <w:bookmarkEnd w:id="0"/>
    </w:p>
    <w:p w:rsidR="003C69EC" w:rsidRPr="00E175BF" w:rsidRDefault="006C14A6" w:rsidP="00E4439C">
      <w:pPr>
        <w:pStyle w:val="Ttulo"/>
        <w:jc w:val="center"/>
        <w:rPr>
          <w:rFonts w:ascii="Century Gothic" w:hAnsi="Century Gothic"/>
          <w:noProof/>
          <w:sz w:val="40"/>
          <w:lang w:val="es-ES"/>
        </w:rPr>
      </w:pPr>
      <w:r w:rsidRPr="00E175BF">
        <w:rPr>
          <w:rFonts w:ascii="Century Gothic" w:hAnsi="Century Gothic"/>
          <w:noProof/>
          <w:sz w:val="48"/>
          <w:lang w:val="es-ES" w:eastAsia="es-ES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698178</wp:posOffset>
            </wp:positionH>
            <wp:positionV relativeFrom="page">
              <wp:posOffset>121920</wp:posOffset>
            </wp:positionV>
            <wp:extent cx="3712845" cy="814070"/>
            <wp:effectExtent l="0" t="0" r="1905" b="508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5BF">
        <w:rPr>
          <w:rFonts w:ascii="Century Gothic" w:hAnsi="Century Gothic"/>
          <w:noProof/>
          <w:sz w:val="48"/>
          <w:lang w:val="es-ES" w:eastAsia="es-ES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697832</wp:posOffset>
            </wp:positionH>
            <wp:positionV relativeFrom="page">
              <wp:posOffset>1275347</wp:posOffset>
            </wp:positionV>
            <wp:extent cx="7209823" cy="8926571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823" cy="8926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744B" w:rsidRPr="00E175BF">
        <w:rPr>
          <w:rFonts w:ascii="Century Gothic" w:hAnsi="Century Gothic"/>
          <w:noProof/>
          <w:sz w:val="40"/>
          <w:lang w:val="es-ES"/>
        </w:rPr>
        <w:t>“</w:t>
      </w:r>
      <w:r w:rsidR="00DE4753">
        <w:rPr>
          <w:rFonts w:ascii="Century Gothic" w:hAnsi="Century Gothic"/>
          <w:noProof/>
          <w:sz w:val="40"/>
          <w:lang w:val="es-ES"/>
        </w:rPr>
        <w:t>Escuela secundaria de niñas St. Mary y promoción de la mujer</w:t>
      </w:r>
      <w:r w:rsidR="0091744B" w:rsidRPr="00E175BF">
        <w:rPr>
          <w:rFonts w:ascii="Century Gothic" w:hAnsi="Century Gothic"/>
          <w:noProof/>
          <w:sz w:val="40"/>
          <w:lang w:val="es-ES"/>
        </w:rPr>
        <w:t>”</w:t>
      </w:r>
    </w:p>
    <w:p w:rsidR="003C69EC" w:rsidRPr="00E175BF" w:rsidRDefault="009A4130" w:rsidP="00E4439C">
      <w:pPr>
        <w:pStyle w:val="Ttulo1"/>
        <w:jc w:val="both"/>
        <w:rPr>
          <w:rFonts w:ascii="Century Gothic" w:hAnsi="Century Gothic"/>
          <w:noProof/>
          <w:lang w:val="es-ES"/>
        </w:rPr>
      </w:pPr>
      <w:r w:rsidRPr="00E175BF">
        <w:rPr>
          <w:rFonts w:ascii="Century Gothic" w:hAnsi="Century Gothic"/>
          <w:noProof/>
          <w:color w:val="000000"/>
          <w:lang w:val="es-ES"/>
        </w:rPr>
        <w:t>Resumen del proyecto</w:t>
      </w:r>
    </w:p>
    <w:p w:rsidR="009A4130" w:rsidRPr="00E175BF" w:rsidRDefault="009A4130" w:rsidP="00E4439C">
      <w:pPr>
        <w:jc w:val="both"/>
        <w:rPr>
          <w:rFonts w:ascii="Century Gothic" w:hAnsi="Century Gothic"/>
          <w:noProof/>
          <w:lang w:val="es-ES"/>
        </w:rPr>
      </w:pPr>
      <w:r w:rsidRPr="00E175BF">
        <w:rPr>
          <w:rFonts w:ascii="Century Gothic" w:hAnsi="Century Gothic"/>
          <w:noProof/>
          <w:lang w:val="es-ES"/>
        </w:rPr>
        <w:t>Nuestro so</w:t>
      </w:r>
      <w:r w:rsidR="009125A2">
        <w:rPr>
          <w:rFonts w:ascii="Century Gothic" w:hAnsi="Century Gothic"/>
          <w:noProof/>
          <w:lang w:val="es-ES"/>
        </w:rPr>
        <w:t>cio local, las hermanas marianistas, acaban de llegar a Karonga, y fundar una nueva comunidad</w:t>
      </w:r>
      <w:r w:rsidR="00E4439C" w:rsidRPr="00E175BF">
        <w:rPr>
          <w:rFonts w:ascii="Century Gothic" w:hAnsi="Century Gothic"/>
          <w:noProof/>
          <w:lang w:val="es-ES"/>
        </w:rPr>
        <w:t>.</w:t>
      </w:r>
      <w:r w:rsidR="009125A2">
        <w:rPr>
          <w:rFonts w:ascii="Century Gothic" w:hAnsi="Century Gothic"/>
          <w:noProof/>
          <w:lang w:val="es-ES"/>
        </w:rPr>
        <w:t xml:space="preserve"> Su principal tarea será el trabajo en la escuela de secundaria St. Mary, donde poder ofrecer una alternativa a las niñas de la zona.  La escuela secundaria (con capacidad para 800 niñas</w:t>
      </w:r>
      <w:r w:rsidR="00125BA8">
        <w:rPr>
          <w:rFonts w:ascii="Century Gothic" w:hAnsi="Century Gothic"/>
          <w:noProof/>
          <w:lang w:val="es-ES"/>
        </w:rPr>
        <w:t>, aunque en este curso hay 157 matriculadas</w:t>
      </w:r>
      <w:r w:rsidR="009125A2">
        <w:rPr>
          <w:rFonts w:ascii="Century Gothic" w:hAnsi="Century Gothic"/>
          <w:noProof/>
          <w:lang w:val="es-ES"/>
        </w:rPr>
        <w:t xml:space="preserve"> y residencia para 200) es una oportunidad única de evitar la dependencia de otros, las bodas infantiles y brindarles la opción de un empleo, así como un desarrollo para ellas y para sus madres.</w:t>
      </w:r>
    </w:p>
    <w:p w:rsidR="00C444E1" w:rsidRPr="00E175BF" w:rsidRDefault="009A4130" w:rsidP="00E4439C">
      <w:pPr>
        <w:pStyle w:val="Ttulo1"/>
        <w:jc w:val="both"/>
        <w:rPr>
          <w:rFonts w:ascii="Century Gothic" w:hAnsi="Century Gothic"/>
          <w:noProof/>
          <w:lang w:val="es-ES"/>
        </w:rPr>
      </w:pPr>
      <w:r w:rsidRPr="00E175BF">
        <w:rPr>
          <w:rFonts w:ascii="Century Gothic" w:hAnsi="Century Gothic"/>
          <w:noProof/>
          <w:color w:val="000000"/>
          <w:lang w:val="es-ES"/>
        </w:rPr>
        <w:t>Ubicación y Contexto social</w:t>
      </w:r>
    </w:p>
    <w:p w:rsidR="00930CD9" w:rsidRDefault="00930CD9" w:rsidP="009125A2">
      <w:pPr>
        <w:jc w:val="both"/>
        <w:rPr>
          <w:rFonts w:ascii="Century Gothic" w:hAnsi="Century Gothic"/>
          <w:noProof/>
          <w:lang w:val="es-ES"/>
        </w:rPr>
      </w:pPr>
      <w:r>
        <w:rPr>
          <w:rFonts w:ascii="Century Gothic" w:hAnsi="Century Gothic"/>
          <w:noProof/>
          <w:lang w:val="es-ES"/>
        </w:rPr>
        <w:t xml:space="preserve">Malawi se encuentra en el puesto 173 (de un total de 188) según su </w:t>
      </w:r>
      <w:r w:rsidR="00D30F25">
        <w:rPr>
          <w:rFonts w:ascii="Century Gothic" w:hAnsi="Century Gothic"/>
          <w:noProof/>
          <w:lang w:val="es-ES"/>
        </w:rPr>
        <w:t>Í</w:t>
      </w:r>
      <w:r>
        <w:rPr>
          <w:rFonts w:ascii="Century Gothic" w:hAnsi="Century Gothic"/>
          <w:noProof/>
          <w:lang w:val="es-ES"/>
        </w:rPr>
        <w:t>ndice de desarrollo Humano (IDH). Como datos clave, su esperanza de vida está en 62,72 años (ha crecido en los últimos diez años desde los 46,96</w:t>
      </w:r>
      <w:r w:rsidR="002F133F">
        <w:rPr>
          <w:rFonts w:ascii="Century Gothic" w:hAnsi="Century Gothic"/>
          <w:noProof/>
          <w:lang w:val="es-ES"/>
        </w:rPr>
        <w:t>)</w:t>
      </w:r>
      <w:r>
        <w:rPr>
          <w:rFonts w:ascii="Century Gothic" w:hAnsi="Century Gothic"/>
          <w:noProof/>
          <w:lang w:val="es-ES"/>
        </w:rPr>
        <w:t xml:space="preserve"> y su renta per cápita es de 259 euros.</w:t>
      </w:r>
      <w:r w:rsidR="002F133F">
        <w:rPr>
          <w:rFonts w:ascii="Century Gothic" w:hAnsi="Century Gothic"/>
          <w:noProof/>
          <w:lang w:val="es-ES"/>
        </w:rPr>
        <w:t xml:space="preserve"> En términos de educación podemos destacar un gasto públic</w:t>
      </w:r>
      <w:r w:rsidR="00D30F25">
        <w:rPr>
          <w:rFonts w:ascii="Century Gothic" w:hAnsi="Century Gothic"/>
          <w:noProof/>
          <w:lang w:val="es-ES"/>
        </w:rPr>
        <w:t>o</w:t>
      </w:r>
      <w:r w:rsidR="002F133F">
        <w:rPr>
          <w:rFonts w:ascii="Century Gothic" w:hAnsi="Century Gothic"/>
          <w:noProof/>
          <w:lang w:val="es-ES"/>
        </w:rPr>
        <w:t xml:space="preserve"> por habitante de 18€ al año. Por contextualizar, en España es de 1.027€/año.</w:t>
      </w:r>
    </w:p>
    <w:p w:rsidR="00D5256E" w:rsidRDefault="009125A2" w:rsidP="009125A2">
      <w:pPr>
        <w:jc w:val="both"/>
        <w:rPr>
          <w:rFonts w:ascii="Century Gothic" w:hAnsi="Century Gothic"/>
          <w:noProof/>
          <w:lang w:val="es-ES"/>
        </w:rPr>
      </w:pPr>
      <w:r>
        <w:rPr>
          <w:rFonts w:ascii="Century Gothic" w:hAnsi="Century Gothic"/>
          <w:noProof/>
          <w:lang w:val="es-ES"/>
        </w:rPr>
        <w:t>La escuela de secundaria St. Mary y su residencia se encuentran en la diócesis de Karonga cubre 12.000 kilómetros cuadrados. Una serie de terremotos en 2009 destrozó la zona</w:t>
      </w:r>
      <w:r w:rsidR="00AC57EE">
        <w:rPr>
          <w:rFonts w:ascii="Century Gothic" w:hAnsi="Century Gothic"/>
          <w:noProof/>
          <w:lang w:val="es-ES"/>
        </w:rPr>
        <w:t>: casas, escuelas, edificios… de lo que todavía no se han recuperado.</w:t>
      </w:r>
    </w:p>
    <w:p w:rsidR="00AC57EE" w:rsidRDefault="00AC57EE" w:rsidP="009125A2">
      <w:pPr>
        <w:jc w:val="both"/>
        <w:rPr>
          <w:rFonts w:ascii="Century Gothic" w:hAnsi="Century Gothic"/>
          <w:noProof/>
          <w:lang w:val="es-ES"/>
        </w:rPr>
      </w:pPr>
      <w:r>
        <w:rPr>
          <w:rFonts w:ascii="Century Gothic" w:hAnsi="Century Gothic"/>
          <w:noProof/>
          <w:lang w:val="es-ES"/>
        </w:rPr>
        <w:t>La falta de acceso a la educación especialmente la secundaria es un gran problema para la población rural, y especialmente para la población femenina. Así, las niñas están expuestas a las bodas de conveniencia, práctica todavía extendida en la zona.</w:t>
      </w:r>
    </w:p>
    <w:p w:rsidR="00930CD9" w:rsidRDefault="00AC57EE" w:rsidP="009125A2">
      <w:pPr>
        <w:jc w:val="both"/>
        <w:rPr>
          <w:rFonts w:ascii="Century Gothic" w:hAnsi="Century Gothic"/>
          <w:noProof/>
          <w:lang w:val="es-ES"/>
        </w:rPr>
      </w:pPr>
      <w:r>
        <w:rPr>
          <w:rFonts w:ascii="Century Gothic" w:hAnsi="Century Gothic"/>
          <w:noProof/>
          <w:lang w:val="es-ES"/>
        </w:rPr>
        <w:t>Es aquí donde cobra sentido la apuesta de las marianistas y su compromiso con esta población vulnerable en la escu</w:t>
      </w:r>
      <w:r w:rsidR="00D30F25">
        <w:rPr>
          <w:rFonts w:ascii="Century Gothic" w:hAnsi="Century Gothic"/>
          <w:noProof/>
          <w:lang w:val="es-ES"/>
        </w:rPr>
        <w:t>ela</w:t>
      </w:r>
      <w:r>
        <w:rPr>
          <w:rFonts w:ascii="Century Gothic" w:hAnsi="Century Gothic"/>
          <w:noProof/>
          <w:lang w:val="es-ES"/>
        </w:rPr>
        <w:t xml:space="preserve"> secundaria St. Mary, así como su residencia. El gobierno de Malawi cubre los salarios de los profesores, mientras que otros financiadores aportan a la construcción. El obispo puso el terreno.</w:t>
      </w:r>
      <w:r w:rsidR="00930CD9">
        <w:rPr>
          <w:rFonts w:ascii="Century Gothic" w:hAnsi="Century Gothic"/>
          <w:noProof/>
          <w:lang w:val="es-ES"/>
        </w:rPr>
        <w:t xml:space="preserve"> Aunque las alumnas provienen de familias sin apenas recursos económicos todas ellas pagan una pequeña cuota para asistir a las clases. </w:t>
      </w:r>
    </w:p>
    <w:p w:rsidR="00AC57EE" w:rsidRDefault="00AC57EE" w:rsidP="009125A2">
      <w:pPr>
        <w:jc w:val="both"/>
        <w:rPr>
          <w:rFonts w:ascii="Century Gothic" w:hAnsi="Century Gothic"/>
          <w:noProof/>
          <w:lang w:val="es-ES"/>
        </w:rPr>
      </w:pPr>
      <w:r>
        <w:rPr>
          <w:rFonts w:ascii="Century Gothic" w:hAnsi="Century Gothic"/>
          <w:noProof/>
          <w:lang w:val="es-ES"/>
        </w:rPr>
        <w:t>La experiencia viene desde 1963, cuando el obispo de entonces, M.A. Mtumbuka trabajó junto a los marianistas la escuela Chaminade para chicos. Ahora es el momento de darles la oportunidad también a las chicas, y por ello el obispo ha pedido ayuda a las hermanas.</w:t>
      </w:r>
    </w:p>
    <w:p w:rsidR="00AC57EE" w:rsidRPr="009125A2" w:rsidRDefault="00B24D29" w:rsidP="009125A2">
      <w:pPr>
        <w:jc w:val="both"/>
        <w:rPr>
          <w:rFonts w:ascii="Century Gothic" w:hAnsi="Century Gothic" w:cs="Arial"/>
          <w:lang w:val="es-ES"/>
        </w:rPr>
      </w:pPr>
      <w:r w:rsidRPr="00E175BF">
        <w:rPr>
          <w:rFonts w:ascii="Century Gothic" w:hAnsi="Century Gothic"/>
          <w:noProof/>
          <w:sz w:val="48"/>
          <w:lang w:val="es-ES" w:eastAsia="es-ES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555955</wp:posOffset>
            </wp:positionH>
            <wp:positionV relativeFrom="page">
              <wp:posOffset>1309421</wp:posOffset>
            </wp:positionV>
            <wp:extent cx="7212788" cy="8924544"/>
            <wp:effectExtent l="19050" t="0" r="7162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788" cy="8924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57EE">
        <w:rPr>
          <w:rFonts w:ascii="Century Gothic" w:hAnsi="Century Gothic"/>
          <w:noProof/>
          <w:lang w:val="es-ES"/>
        </w:rPr>
        <w:t>Karonga es actualmente una de las zonas más empobrecidas del país Malawi</w:t>
      </w:r>
      <w:r w:rsidR="00646B8B">
        <w:rPr>
          <w:rFonts w:ascii="Century Gothic" w:hAnsi="Century Gothic"/>
          <w:noProof/>
          <w:lang w:val="es-ES"/>
        </w:rPr>
        <w:t>, siendo la mujer especialmente afectada por dichos altos niveles de pobreza.</w:t>
      </w:r>
    </w:p>
    <w:p w:rsidR="00890E6F" w:rsidRPr="00E175BF" w:rsidRDefault="00D5256E" w:rsidP="00E4439C">
      <w:pPr>
        <w:pStyle w:val="Ttulo1"/>
        <w:jc w:val="both"/>
        <w:rPr>
          <w:rFonts w:ascii="Century Gothic" w:hAnsi="Century Gothic"/>
          <w:noProof/>
          <w:lang w:val="es-ES"/>
        </w:rPr>
      </w:pPr>
      <w:r w:rsidRPr="00E175BF">
        <w:rPr>
          <w:rFonts w:ascii="Century Gothic" w:hAnsi="Century Gothic"/>
          <w:noProof/>
          <w:color w:val="000000"/>
          <w:lang w:val="es-ES"/>
        </w:rPr>
        <w:t>Objetivos</w:t>
      </w:r>
      <w:r w:rsidR="00E4439C" w:rsidRPr="00E175BF">
        <w:rPr>
          <w:rFonts w:ascii="Century Gothic" w:hAnsi="Century Gothic"/>
          <w:noProof/>
          <w:color w:val="000000"/>
          <w:lang w:val="es-ES"/>
        </w:rPr>
        <w:t xml:space="preserve"> 2017</w:t>
      </w:r>
    </w:p>
    <w:p w:rsidR="00890E6F" w:rsidRPr="00E175BF" w:rsidRDefault="00890E6F" w:rsidP="00E4439C">
      <w:pPr>
        <w:spacing w:after="0"/>
        <w:jc w:val="both"/>
        <w:rPr>
          <w:rFonts w:ascii="Century Gothic" w:hAnsi="Century Gothic" w:cs="Arial"/>
          <w:lang w:val="es-ES"/>
        </w:rPr>
      </w:pPr>
    </w:p>
    <w:p w:rsidR="002F430A" w:rsidRDefault="002F430A" w:rsidP="002F430A">
      <w:pPr>
        <w:spacing w:after="0"/>
        <w:jc w:val="both"/>
        <w:rPr>
          <w:rFonts w:ascii="Century Gothic" w:hAnsi="Century Gothic" w:cs="Arial"/>
          <w:lang w:val="es-ES"/>
        </w:rPr>
      </w:pPr>
      <w:r>
        <w:rPr>
          <w:rFonts w:ascii="Century Gothic" w:hAnsi="Century Gothic" w:cs="Arial"/>
          <w:lang w:val="es-ES"/>
        </w:rPr>
        <w:t>EL proyecto pretende tres objetivos:</w:t>
      </w:r>
    </w:p>
    <w:p w:rsidR="002F430A" w:rsidRDefault="002F430A" w:rsidP="002F430A">
      <w:pPr>
        <w:spacing w:after="0"/>
        <w:jc w:val="both"/>
        <w:rPr>
          <w:rFonts w:ascii="Century Gothic" w:hAnsi="Century Gothic" w:cs="Arial"/>
          <w:lang w:val="es-ES"/>
        </w:rPr>
      </w:pPr>
    </w:p>
    <w:p w:rsidR="00D5256E" w:rsidRDefault="002F430A" w:rsidP="00D5256E">
      <w:pPr>
        <w:pStyle w:val="Prrafodelista"/>
        <w:numPr>
          <w:ilvl w:val="0"/>
          <w:numId w:val="17"/>
        </w:numPr>
        <w:spacing w:after="0"/>
        <w:jc w:val="both"/>
        <w:rPr>
          <w:rFonts w:ascii="Century Gothic" w:hAnsi="Century Gothic"/>
          <w:noProof/>
          <w:lang w:val="es-ES"/>
        </w:rPr>
      </w:pPr>
      <w:r>
        <w:rPr>
          <w:rFonts w:ascii="Century Gothic" w:hAnsi="Century Gothic"/>
          <w:noProof/>
          <w:lang w:val="es-ES"/>
        </w:rPr>
        <w:t>Proveer de una enseñanza de calidad a 800 niñas en situación empobrecida.</w:t>
      </w:r>
    </w:p>
    <w:p w:rsidR="002F430A" w:rsidRDefault="002F430A" w:rsidP="002F430A">
      <w:pPr>
        <w:pStyle w:val="Prrafodelista"/>
        <w:spacing w:after="0"/>
        <w:jc w:val="both"/>
        <w:rPr>
          <w:rFonts w:ascii="Century Gothic" w:hAnsi="Century Gothic"/>
          <w:noProof/>
          <w:lang w:val="es-ES"/>
        </w:rPr>
      </w:pPr>
    </w:p>
    <w:p w:rsidR="002F430A" w:rsidRDefault="002F430A" w:rsidP="00D5256E">
      <w:pPr>
        <w:pStyle w:val="Prrafodelista"/>
        <w:numPr>
          <w:ilvl w:val="0"/>
          <w:numId w:val="17"/>
        </w:numPr>
        <w:spacing w:after="0"/>
        <w:jc w:val="both"/>
        <w:rPr>
          <w:rFonts w:ascii="Century Gothic" w:hAnsi="Century Gothic"/>
          <w:noProof/>
          <w:lang w:val="es-ES"/>
        </w:rPr>
      </w:pPr>
      <w:r>
        <w:rPr>
          <w:rFonts w:ascii="Century Gothic" w:hAnsi="Century Gothic"/>
          <w:noProof/>
          <w:lang w:val="es-ES"/>
        </w:rPr>
        <w:t>Ofrecer unas instalaciones de residencia para aquellas niñas de aldeas más lejanas, ofreciéndoles alojami</w:t>
      </w:r>
      <w:r w:rsidR="00D30F25">
        <w:rPr>
          <w:rFonts w:ascii="Century Gothic" w:hAnsi="Century Gothic"/>
          <w:noProof/>
          <w:lang w:val="es-ES"/>
        </w:rPr>
        <w:t>e</w:t>
      </w:r>
      <w:r>
        <w:rPr>
          <w:rFonts w:ascii="Century Gothic" w:hAnsi="Century Gothic"/>
          <w:noProof/>
          <w:lang w:val="es-ES"/>
        </w:rPr>
        <w:t>nto, alimentación y sobre todo acompañamiento.</w:t>
      </w:r>
    </w:p>
    <w:p w:rsidR="002F430A" w:rsidRPr="002F430A" w:rsidRDefault="002F430A" w:rsidP="002F430A">
      <w:pPr>
        <w:spacing w:after="0"/>
        <w:jc w:val="both"/>
        <w:rPr>
          <w:rFonts w:ascii="Century Gothic" w:hAnsi="Century Gothic"/>
          <w:noProof/>
          <w:lang w:val="es-ES"/>
        </w:rPr>
      </w:pPr>
    </w:p>
    <w:p w:rsidR="002F430A" w:rsidRPr="00E175BF" w:rsidRDefault="002F430A" w:rsidP="00D5256E">
      <w:pPr>
        <w:pStyle w:val="Prrafodelista"/>
        <w:numPr>
          <w:ilvl w:val="0"/>
          <w:numId w:val="17"/>
        </w:numPr>
        <w:spacing w:after="0"/>
        <w:jc w:val="both"/>
        <w:rPr>
          <w:rFonts w:ascii="Century Gothic" w:hAnsi="Century Gothic"/>
          <w:noProof/>
          <w:lang w:val="es-ES"/>
        </w:rPr>
      </w:pPr>
      <w:r>
        <w:rPr>
          <w:rFonts w:ascii="Century Gothic" w:hAnsi="Century Gothic"/>
          <w:noProof/>
          <w:lang w:val="es-ES"/>
        </w:rPr>
        <w:t>Trabajar con las madres de estas alumnas, para ayudarlas en su promoción como mujeres, empleo y forma de mantener a sus familias.</w:t>
      </w:r>
    </w:p>
    <w:p w:rsidR="00256EEB" w:rsidRPr="00E175BF" w:rsidRDefault="002F430A" w:rsidP="00E4439C">
      <w:pPr>
        <w:pStyle w:val="Ttulo1"/>
        <w:jc w:val="both"/>
        <w:rPr>
          <w:rFonts w:ascii="Century Gothic" w:hAnsi="Century Gothic"/>
          <w:noProof/>
          <w:lang w:val="es-ES"/>
        </w:rPr>
      </w:pPr>
      <w:r>
        <w:rPr>
          <w:rFonts w:ascii="Century Gothic" w:hAnsi="Century Gothic"/>
          <w:noProof/>
          <w:color w:val="000000"/>
          <w:lang w:val="es-ES"/>
        </w:rPr>
        <w:t>Socio local</w:t>
      </w:r>
    </w:p>
    <w:p w:rsidR="000B3FA5" w:rsidRDefault="002F430A" w:rsidP="00E175BF">
      <w:pPr>
        <w:jc w:val="both"/>
        <w:rPr>
          <w:rFonts w:ascii="Century Gothic" w:hAnsi="Century Gothic"/>
          <w:noProof/>
          <w:lang w:val="es-ES"/>
        </w:rPr>
      </w:pPr>
      <w:r>
        <w:rPr>
          <w:rFonts w:ascii="Century Gothic" w:hAnsi="Century Gothic"/>
          <w:noProof/>
          <w:lang w:val="es-ES"/>
        </w:rPr>
        <w:t>La recién creada comunidad de las hermanas marianistas está formada por cuatro religiosas:</w:t>
      </w:r>
    </w:p>
    <w:p w:rsidR="002F430A" w:rsidRDefault="002F430A" w:rsidP="002F430A">
      <w:pPr>
        <w:pStyle w:val="Prrafodelista"/>
        <w:numPr>
          <w:ilvl w:val="0"/>
          <w:numId w:val="17"/>
        </w:numPr>
        <w:jc w:val="both"/>
        <w:rPr>
          <w:rFonts w:ascii="Century Gothic" w:hAnsi="Century Gothic"/>
          <w:noProof/>
          <w:lang w:val="es-ES"/>
        </w:rPr>
      </w:pPr>
      <w:r>
        <w:rPr>
          <w:rFonts w:ascii="Century Gothic" w:hAnsi="Century Gothic"/>
          <w:noProof/>
          <w:lang w:val="es-ES"/>
        </w:rPr>
        <w:t xml:space="preserve">Dos de la región de Africa: </w:t>
      </w:r>
      <w:r w:rsidR="00C42A5A">
        <w:rPr>
          <w:rFonts w:ascii="Century Gothic" w:hAnsi="Century Gothic"/>
          <w:noProof/>
          <w:lang w:val="es-ES"/>
        </w:rPr>
        <w:t>una será profesora, y otra se integrará en la Administración de la Escuela secundaria St. Mary.</w:t>
      </w:r>
    </w:p>
    <w:p w:rsidR="00C42A5A" w:rsidRDefault="00C42A5A" w:rsidP="002F430A">
      <w:pPr>
        <w:pStyle w:val="Prrafodelista"/>
        <w:numPr>
          <w:ilvl w:val="0"/>
          <w:numId w:val="17"/>
        </w:numPr>
        <w:jc w:val="both"/>
        <w:rPr>
          <w:rFonts w:ascii="Century Gothic" w:hAnsi="Century Gothic"/>
          <w:noProof/>
          <w:lang w:val="es-ES"/>
        </w:rPr>
      </w:pPr>
      <w:r>
        <w:rPr>
          <w:rFonts w:ascii="Century Gothic" w:hAnsi="Century Gothic"/>
          <w:noProof/>
          <w:lang w:val="es-ES"/>
        </w:rPr>
        <w:t>Dos de la región de India: se encargarán de la gestión de la residencia, la formación y desarrollo humano integral de las niñas.</w:t>
      </w:r>
    </w:p>
    <w:p w:rsidR="00C42A5A" w:rsidRDefault="00C42A5A" w:rsidP="00C42A5A">
      <w:pPr>
        <w:jc w:val="both"/>
        <w:rPr>
          <w:rFonts w:ascii="Century Gothic" w:hAnsi="Century Gothic"/>
          <w:noProof/>
          <w:lang w:val="es-ES"/>
        </w:rPr>
      </w:pPr>
      <w:r>
        <w:rPr>
          <w:rFonts w:ascii="Century Gothic" w:hAnsi="Century Gothic"/>
          <w:noProof/>
          <w:lang w:val="es-ES"/>
        </w:rPr>
        <w:t>El compromiso inicial de las hermanas con la diócesis de Karonga es por cinco años, con vocación de continuar indefinidamente.</w:t>
      </w:r>
    </w:p>
    <w:p w:rsidR="00C42A5A" w:rsidRPr="00C42A5A" w:rsidRDefault="00C42A5A" w:rsidP="00C42A5A">
      <w:pPr>
        <w:jc w:val="both"/>
        <w:rPr>
          <w:rFonts w:ascii="Century Gothic" w:hAnsi="Century Gothic"/>
          <w:noProof/>
          <w:lang w:val="es-ES"/>
        </w:rPr>
      </w:pPr>
      <w:r>
        <w:rPr>
          <w:rFonts w:ascii="Century Gothic" w:hAnsi="Century Gothic"/>
          <w:noProof/>
          <w:lang w:val="es-ES"/>
        </w:rPr>
        <w:t xml:space="preserve">Además de la comunidad de religiosas marianistas, hay un claustro de 25 profesores y cinco de personal del colegio y la residencia. </w:t>
      </w:r>
    </w:p>
    <w:p w:rsidR="00125BA8" w:rsidRPr="00E175BF" w:rsidRDefault="00125BA8" w:rsidP="00125BA8">
      <w:pPr>
        <w:pStyle w:val="Ttulo1"/>
        <w:jc w:val="both"/>
        <w:rPr>
          <w:rFonts w:ascii="Century Gothic" w:hAnsi="Century Gothic"/>
          <w:noProof/>
          <w:lang w:val="es-ES"/>
        </w:rPr>
      </w:pPr>
      <w:r>
        <w:rPr>
          <w:rFonts w:ascii="Century Gothic" w:hAnsi="Century Gothic"/>
          <w:noProof/>
          <w:color w:val="000000"/>
          <w:lang w:val="es-ES"/>
        </w:rPr>
        <w:t>Anexo fotográfico</w:t>
      </w:r>
    </w:p>
    <w:p w:rsidR="000B3FA5" w:rsidRDefault="00125BA8" w:rsidP="00E175BF">
      <w:pPr>
        <w:jc w:val="both"/>
        <w:rPr>
          <w:rFonts w:ascii="Century Gothic" w:hAnsi="Century Gothic"/>
          <w:noProof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2562225" cy="1879590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8974" t="41666" r="47115" b="18069"/>
                    <a:stretch/>
                  </pic:blipFill>
                  <pic:spPr bwMode="auto">
                    <a:xfrm>
                      <a:off x="0" y="0"/>
                      <a:ext cx="2599242" cy="190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473" w:rsidRDefault="00B24D29" w:rsidP="00E175BF">
      <w:pPr>
        <w:jc w:val="both"/>
        <w:rPr>
          <w:rFonts w:ascii="Century Gothic" w:hAnsi="Century Gothic"/>
          <w:noProof/>
          <w:lang w:val="es-ES"/>
        </w:rPr>
      </w:pPr>
      <w:r w:rsidRPr="00E175BF">
        <w:rPr>
          <w:rFonts w:ascii="Century Gothic" w:hAnsi="Century Gothic"/>
          <w:noProof/>
          <w:sz w:val="48"/>
          <w:lang w:val="es-ES" w:eastAsia="es-ES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619125</wp:posOffset>
            </wp:positionH>
            <wp:positionV relativeFrom="page">
              <wp:posOffset>1028700</wp:posOffset>
            </wp:positionV>
            <wp:extent cx="7209823" cy="8926571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823" cy="8926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3FA5" w:rsidRDefault="000B3FA5" w:rsidP="00E175BF">
      <w:pPr>
        <w:jc w:val="both"/>
        <w:rPr>
          <w:rFonts w:ascii="Century Gothic" w:hAnsi="Century Gothic"/>
          <w:noProof/>
          <w:lang w:val="es-ES"/>
        </w:rPr>
      </w:pPr>
    </w:p>
    <w:p w:rsidR="000B3FA5" w:rsidRDefault="00034473" w:rsidP="00E175BF">
      <w:pPr>
        <w:jc w:val="both"/>
        <w:rPr>
          <w:rFonts w:ascii="Century Gothic" w:hAnsi="Century Gothic"/>
          <w:noProof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3850481" cy="3200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7853" t="18430" r="42788" b="30288"/>
                    <a:stretch/>
                  </pic:blipFill>
                  <pic:spPr bwMode="auto">
                    <a:xfrm>
                      <a:off x="0" y="0"/>
                      <a:ext cx="3858360" cy="3206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5BA8">
        <w:rPr>
          <w:noProof/>
          <w:lang w:val="es-ES" w:eastAsia="es-ES"/>
        </w:rPr>
        <w:drawing>
          <wp:inline distT="0" distB="0" distL="0" distR="0">
            <wp:extent cx="4029075" cy="368859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6891" t="29648" r="47596" b="18269"/>
                    <a:stretch/>
                  </pic:blipFill>
                  <pic:spPr bwMode="auto">
                    <a:xfrm>
                      <a:off x="0" y="0"/>
                      <a:ext cx="4034401" cy="3693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5BF" w:rsidRDefault="00E175BF" w:rsidP="00E175BF">
      <w:pPr>
        <w:jc w:val="both"/>
        <w:rPr>
          <w:rFonts w:ascii="Century Gothic" w:hAnsi="Century Gothic"/>
          <w:noProof/>
          <w:lang w:val="es-ES"/>
        </w:rPr>
      </w:pPr>
    </w:p>
    <w:sectPr w:rsidR="00E175BF" w:rsidSect="00722E7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87448"/>
    <w:multiLevelType w:val="hybridMultilevel"/>
    <w:tmpl w:val="02AE4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393087C"/>
    <w:multiLevelType w:val="hybridMultilevel"/>
    <w:tmpl w:val="240E90E4"/>
    <w:lvl w:ilvl="0" w:tplc="27CAC708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645CCC"/>
    <w:multiLevelType w:val="hybridMultilevel"/>
    <w:tmpl w:val="A802C42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262106"/>
    <w:multiLevelType w:val="hybridMultilevel"/>
    <w:tmpl w:val="9AF0657A"/>
    <w:lvl w:ilvl="0" w:tplc="69600DC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B931C0"/>
    <w:multiLevelType w:val="hybridMultilevel"/>
    <w:tmpl w:val="0BA87FE6"/>
    <w:lvl w:ilvl="0" w:tplc="EC4EEE5E">
      <w:numFmt w:val="bullet"/>
      <w:lvlText w:val="-"/>
      <w:lvlJc w:val="left"/>
      <w:pPr>
        <w:ind w:left="1070" w:hanging="360"/>
      </w:pPr>
      <w:rPr>
        <w:rFonts w:ascii="Calibri" w:eastAsiaTheme="minorEastAsia" w:hAnsi="Calibri" w:cstheme="minorBidi" w:hint="default"/>
      </w:rPr>
    </w:lvl>
    <w:lvl w:ilvl="1" w:tplc="0C0A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5"/>
  </w:num>
  <w:num w:numId="14">
    <w:abstractNumId w:val="4"/>
  </w:num>
  <w:num w:numId="15">
    <w:abstractNumId w:val="0"/>
  </w:num>
  <w:num w:numId="16">
    <w:abstractNumId w:val="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4E1"/>
    <w:rsid w:val="00034473"/>
    <w:rsid w:val="00044E42"/>
    <w:rsid w:val="000B3FA5"/>
    <w:rsid w:val="000C4C0D"/>
    <w:rsid w:val="000E72EE"/>
    <w:rsid w:val="00121628"/>
    <w:rsid w:val="00125BA8"/>
    <w:rsid w:val="00130AAA"/>
    <w:rsid w:val="001964DA"/>
    <w:rsid w:val="00256EEB"/>
    <w:rsid w:val="00260110"/>
    <w:rsid w:val="002F133F"/>
    <w:rsid w:val="002F430A"/>
    <w:rsid w:val="003C69EC"/>
    <w:rsid w:val="003D5018"/>
    <w:rsid w:val="003F660D"/>
    <w:rsid w:val="004241B4"/>
    <w:rsid w:val="00460841"/>
    <w:rsid w:val="004D6743"/>
    <w:rsid w:val="0051659F"/>
    <w:rsid w:val="005F1877"/>
    <w:rsid w:val="006108AE"/>
    <w:rsid w:val="00646B8B"/>
    <w:rsid w:val="00656E29"/>
    <w:rsid w:val="006C14A6"/>
    <w:rsid w:val="0070037B"/>
    <w:rsid w:val="0071379A"/>
    <w:rsid w:val="00722E70"/>
    <w:rsid w:val="007720B5"/>
    <w:rsid w:val="00842DAA"/>
    <w:rsid w:val="00890E6F"/>
    <w:rsid w:val="008958E8"/>
    <w:rsid w:val="008C6F0B"/>
    <w:rsid w:val="009125A2"/>
    <w:rsid w:val="0091744B"/>
    <w:rsid w:val="00930CD9"/>
    <w:rsid w:val="0099688C"/>
    <w:rsid w:val="009A4130"/>
    <w:rsid w:val="00AC57EE"/>
    <w:rsid w:val="00B129D0"/>
    <w:rsid w:val="00B24D29"/>
    <w:rsid w:val="00B277FE"/>
    <w:rsid w:val="00BC3214"/>
    <w:rsid w:val="00BF2D68"/>
    <w:rsid w:val="00C2578C"/>
    <w:rsid w:val="00C42A5A"/>
    <w:rsid w:val="00C444E1"/>
    <w:rsid w:val="00CC0593"/>
    <w:rsid w:val="00D14755"/>
    <w:rsid w:val="00D30F25"/>
    <w:rsid w:val="00D336D0"/>
    <w:rsid w:val="00D5256E"/>
    <w:rsid w:val="00D7265E"/>
    <w:rsid w:val="00D73EFE"/>
    <w:rsid w:val="00DD2FCB"/>
    <w:rsid w:val="00DE4753"/>
    <w:rsid w:val="00E175BF"/>
    <w:rsid w:val="00E364C7"/>
    <w:rsid w:val="00E4439C"/>
    <w:rsid w:val="00E7323A"/>
    <w:rsid w:val="00F37632"/>
    <w:rsid w:val="00FD2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4F2185-F61E-4A78-B0E8-1EEB0907C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22E70"/>
  </w:style>
  <w:style w:type="paragraph" w:styleId="Ttulo1">
    <w:name w:val="heading 1"/>
    <w:basedOn w:val="Normal"/>
    <w:next w:val="Normal"/>
    <w:link w:val="Ttulo1Car"/>
    <w:uiPriority w:val="9"/>
    <w:qFormat/>
    <w:rsid w:val="00722E70"/>
    <w:pPr>
      <w:keepNext/>
      <w:keepLines/>
      <w:numPr>
        <w:numId w:val="1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22E70"/>
    <w:pPr>
      <w:keepNext/>
      <w:keepLines/>
      <w:numPr>
        <w:ilvl w:val="1"/>
        <w:numId w:val="1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22E70"/>
    <w:pPr>
      <w:keepNext/>
      <w:keepLines/>
      <w:numPr>
        <w:ilvl w:val="2"/>
        <w:numId w:val="1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22E70"/>
    <w:pPr>
      <w:keepNext/>
      <w:keepLines/>
      <w:numPr>
        <w:ilvl w:val="3"/>
        <w:numId w:val="1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22E70"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eastAsiaTheme="majorEastAsia" w:hAnsiTheme="majorHAnsi" w:cstheme="majorBidi"/>
      <w:color w:val="252525" w:themeColor="text2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22E70"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22E70"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22E70"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22E70"/>
    <w:pPr>
      <w:keepNext/>
      <w:keepLines/>
      <w:numPr>
        <w:ilvl w:val="8"/>
        <w:numId w:val="1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22E70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22E70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22E70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tuloCar">
    <w:name w:val="Subtítulo Car"/>
    <w:basedOn w:val="Fuentedeprrafopredeter"/>
    <w:link w:val="Subttulo"/>
    <w:uiPriority w:val="11"/>
    <w:rsid w:val="00722E70"/>
    <w:rPr>
      <w:color w:val="5A5A5A" w:themeColor="text1" w:themeTint="A5"/>
      <w:spacing w:val="10"/>
    </w:rPr>
  </w:style>
  <w:style w:type="character" w:customStyle="1" w:styleId="Ttulo1Car">
    <w:name w:val="Título 1 Car"/>
    <w:basedOn w:val="Fuentedeprrafopredeter"/>
    <w:link w:val="Ttulo1"/>
    <w:uiPriority w:val="9"/>
    <w:rsid w:val="00722E70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22E70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22E70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22E70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22E70"/>
    <w:rPr>
      <w:rFonts w:asciiTheme="majorHAnsi" w:eastAsiaTheme="majorEastAsia" w:hAnsiTheme="majorHAnsi" w:cstheme="majorBidi"/>
      <w:color w:val="252525" w:themeColor="tex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22E70"/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22E7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22E7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22E7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nfasissutil">
    <w:name w:val="Subtle Emphasis"/>
    <w:basedOn w:val="Fuentedeprrafopredeter"/>
    <w:uiPriority w:val="19"/>
    <w:qFormat/>
    <w:rsid w:val="00722E70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722E70"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sid w:val="00722E70"/>
    <w:rPr>
      <w:b/>
      <w:bCs/>
      <w:i/>
      <w:iCs/>
      <w:caps/>
    </w:rPr>
  </w:style>
  <w:style w:type="character" w:styleId="Textoennegrita">
    <w:name w:val="Strong"/>
    <w:basedOn w:val="Fuentedeprrafopredeter"/>
    <w:uiPriority w:val="22"/>
    <w:qFormat/>
    <w:rsid w:val="00722E70"/>
    <w:rPr>
      <w:b/>
      <w:bCs/>
      <w:color w:val="000000" w:themeColor="text1"/>
    </w:rPr>
  </w:style>
  <w:style w:type="paragraph" w:styleId="Cita">
    <w:name w:val="Quote"/>
    <w:basedOn w:val="Normal"/>
    <w:next w:val="Normal"/>
    <w:link w:val="CitaCar"/>
    <w:uiPriority w:val="29"/>
    <w:qFormat/>
    <w:rsid w:val="00722E70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722E70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22E70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22E70"/>
    <w:rPr>
      <w:color w:val="000000" w:themeColor="text1"/>
      <w:shd w:val="clear" w:color="auto" w:fill="F2F2F2" w:themeFill="background1" w:themeFillShade="F2"/>
    </w:rPr>
  </w:style>
  <w:style w:type="character" w:styleId="Referenciasutil">
    <w:name w:val="Subtle Reference"/>
    <w:basedOn w:val="Fuentedeprrafopredeter"/>
    <w:uiPriority w:val="31"/>
    <w:qFormat/>
    <w:rsid w:val="00722E70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722E70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722E70"/>
    <w:rPr>
      <w:b w:val="0"/>
      <w:bCs w:val="0"/>
      <w:smallCap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22E70"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22E70"/>
    <w:pPr>
      <w:outlineLvl w:val="9"/>
    </w:pPr>
  </w:style>
  <w:style w:type="paragraph" w:styleId="Sinespaciado">
    <w:name w:val="No Spacing"/>
    <w:uiPriority w:val="1"/>
    <w:qFormat/>
    <w:rsid w:val="00722E7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22E7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F1877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1877"/>
    <w:rPr>
      <w:rFonts w:ascii="Arial" w:hAnsi="Arial" w:cs="Arial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30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30CD9"/>
  </w:style>
  <w:style w:type="character" w:styleId="Hipervnculo">
    <w:name w:val="Hyperlink"/>
    <w:basedOn w:val="Fuentedeprrafopredeter"/>
    <w:uiPriority w:val="99"/>
    <w:semiHidden/>
    <w:unhideWhenUsed/>
    <w:rsid w:val="00930C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7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Z\AppData\Roaming\Microsoft\Templates\Dise&#241;o%20de%20informe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EA1EC-B023-4266-9865-E1EDA122A8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B8A0AD-CF05-4595-B10E-2748D13DB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Diseño de informe.dotx</Template>
  <TotalTime>1</TotalTime>
  <Pages>3</Pages>
  <Words>529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</dc:creator>
  <cp:lastModifiedBy>Rafael Corell</cp:lastModifiedBy>
  <cp:revision>2</cp:revision>
  <cp:lastPrinted>2016-12-13T10:27:00Z</cp:lastPrinted>
  <dcterms:created xsi:type="dcterms:W3CDTF">2017-03-21T09:32:00Z</dcterms:created>
  <dcterms:modified xsi:type="dcterms:W3CDTF">2017-03-21T09:32:00Z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</Properties>
</file>